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BE4" w:rsidRPr="009B0AC7" w:rsidRDefault="00986BE4" w:rsidP="00986BE4">
      <w:pPr>
        <w:tabs>
          <w:tab w:val="left" w:pos="3300"/>
          <w:tab w:val="center" w:pos="5071"/>
        </w:tabs>
        <w:spacing w:after="0" w:line="240" w:lineRule="auto"/>
        <w:ind w:right="-142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0"/>
          <w:lang w:eastAsia="ru-RU"/>
        </w:rPr>
        <w:t>ПСКОВСКАЯ ОБЛАСТЬ</w:t>
      </w: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28"/>
          <w:szCs w:val="20"/>
          <w:lang w:eastAsia="ru-RU"/>
        </w:rPr>
        <w:t>АДМИНИСТРАЦИЯ ПЫТАЛОВСКОГО РАЙОНА</w:t>
      </w: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</w:p>
    <w:p w:rsidR="00986BE4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0"/>
          <w:lang w:eastAsia="ru-RU"/>
        </w:rPr>
      </w:pPr>
      <w:r w:rsidRPr="009B0AC7">
        <w:rPr>
          <w:rFonts w:ascii="Times New Roman" w:eastAsia="Times New Roman" w:hAnsi="Times New Roman"/>
          <w:b/>
          <w:sz w:val="32"/>
          <w:szCs w:val="20"/>
          <w:lang w:eastAsia="ru-RU"/>
        </w:rPr>
        <w:t>ПОСТАНОВЛЕНИЕ</w:t>
      </w: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12.01.2021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</w:p>
    <w:p w:rsidR="00986BE4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proofErr w:type="spell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>ыталово</w:t>
      </w:r>
      <w:proofErr w:type="spellEnd"/>
    </w:p>
    <w:p w:rsidR="00986BE4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0575" w:type="dxa"/>
        <w:tblInd w:w="10" w:type="dxa"/>
        <w:tblLayout w:type="fixed"/>
        <w:tblLook w:val="0000" w:firstRow="0" w:lastRow="0" w:firstColumn="0" w:lastColumn="0" w:noHBand="0" w:noVBand="0"/>
      </w:tblPr>
      <w:tblGrid>
        <w:gridCol w:w="5670"/>
        <w:gridCol w:w="4905"/>
      </w:tblGrid>
      <w:tr w:rsidR="00986BE4" w:rsidRPr="00986BE4" w:rsidTr="0000106F">
        <w:tc>
          <w:tcPr>
            <w:tcW w:w="5670" w:type="dxa"/>
            <w:shd w:val="clear" w:color="auto" w:fill="auto"/>
          </w:tcPr>
          <w:p w:rsidR="00986BE4" w:rsidRPr="00986BE4" w:rsidRDefault="00986BE4" w:rsidP="00986BE4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 утверждении Плана мероприятий по реализации Стратегии социально–экономического развития муниципального образования «</w:t>
            </w:r>
            <w:proofErr w:type="spellStart"/>
            <w:r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район» до 2030 года </w:t>
            </w:r>
          </w:p>
          <w:p w:rsidR="00986BE4" w:rsidRPr="00986BE4" w:rsidRDefault="00986BE4" w:rsidP="0098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05" w:type="dxa"/>
            <w:shd w:val="clear" w:color="auto" w:fill="auto"/>
          </w:tcPr>
          <w:p w:rsidR="00986BE4" w:rsidRPr="00986BE4" w:rsidRDefault="00986BE4" w:rsidP="00986B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86BE4" w:rsidRPr="00986BE4" w:rsidRDefault="00986BE4" w:rsidP="00986BE4">
      <w:pPr>
        <w:autoSpaceDE w:val="0"/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На основании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до 2030 года, утвержденной решением Собрания депутатов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30.12.2020   № 125 Администрация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постановляет</w:t>
      </w: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86BE4" w:rsidRPr="00986BE4" w:rsidRDefault="00986BE4" w:rsidP="00986BE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прилагаемый План мероприятий по реализации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до 2030 года.</w:t>
      </w:r>
    </w:p>
    <w:p w:rsidR="00986BE4" w:rsidRPr="00986BE4" w:rsidRDefault="00986BE4" w:rsidP="00986BE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2. Ответственным исполнителям муниципальных программ обеспечить исполнение Плана мероприятий по реализации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до 2030 года.</w:t>
      </w:r>
    </w:p>
    <w:p w:rsidR="00986BE4" w:rsidRPr="00986BE4" w:rsidRDefault="00986BE4" w:rsidP="00986BE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Настоящее постановление разместить в информационно-телекоммуникационной сети «Интернет» на официальном сайте Администрации </w:t>
      </w:r>
      <w:proofErr w:type="spellStart"/>
      <w:r w:rsidRPr="0098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района.</w:t>
      </w:r>
    </w:p>
    <w:p w:rsidR="00986BE4" w:rsidRDefault="00986BE4" w:rsidP="00986B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6BE4" w:rsidRDefault="00986BE4" w:rsidP="00986B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6BE4" w:rsidRPr="00986BE4" w:rsidRDefault="00986BE4" w:rsidP="00986B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86BE4" w:rsidRPr="00986BE4" w:rsidRDefault="00986BE4" w:rsidP="00986BE4">
      <w:p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                                                    В.М. Кондратьева</w:t>
      </w:r>
    </w:p>
    <w:p w:rsidR="00986BE4" w:rsidRDefault="00986BE4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986BE4" w:rsidRDefault="00986BE4" w:rsidP="00986BE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Утвержден </w:t>
      </w:r>
    </w:p>
    <w:p w:rsidR="00986BE4" w:rsidRDefault="00986BE4" w:rsidP="00986BE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</w:p>
    <w:p w:rsidR="00986BE4" w:rsidRPr="00986BE4" w:rsidRDefault="00986BE4" w:rsidP="00986BE4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86BE4" w:rsidRPr="009B0AC7" w:rsidRDefault="00986BE4" w:rsidP="00986B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9B0AC7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12.01.2021 г.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9</w:t>
      </w:r>
    </w:p>
    <w:p w:rsidR="00986BE4" w:rsidRPr="00986BE4" w:rsidRDefault="00986BE4" w:rsidP="00986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BE4" w:rsidRPr="00986BE4" w:rsidRDefault="00986BE4" w:rsidP="00986B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План мероприятий по реализации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до 2030 года</w:t>
      </w:r>
    </w:p>
    <w:p w:rsidR="00986BE4" w:rsidRPr="00986BE4" w:rsidRDefault="00986BE4" w:rsidP="00986B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BE4" w:rsidRPr="00986BE4" w:rsidRDefault="00986BE4" w:rsidP="00986B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Основные положения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Настоящий План мероприятий по реализации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 на период до 2030 года (далее соответственно </w:t>
      </w:r>
      <w:proofErr w:type="gram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–П</w:t>
      </w:r>
      <w:proofErr w:type="gram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лан мероприятий, Стратегия) разработан  в  соответствии  с  Федеральным  законом  от  28.06.2014  №172-ФЗ  «О стратегическом планировании в Российской Федерации», Бюджетным кодексом Российской Федерации,  Решением Собрания депутатов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от 30.12.2020 г. №125 «Об утверждении Стратегии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на период до 2030 года».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 мероприятий разработан на основе положений Стратегии на период ее реализации с учетом основных направлений деятельности администрации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 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Целью разработки Плана мероприятий является разработка системы мероприятий по достижению стратегических целей, приоритетов и задач Стратегии социально-экономического развития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 максимальным использованием имеющихся ресурсов.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Задачами разработки Плана мероприятий являются: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-определение конкретных мероприятий, необходимых для достижения долгосрочных стратегических целей, требований к их результатам, срокам выполнения;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-определение </w:t>
      </w:r>
      <w:proofErr w:type="gram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показателей оценки эффективности реализации мероприятий</w:t>
      </w:r>
      <w:proofErr w:type="gram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 включает: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-цели, задачи и этапы реализации Стратегии,</w:t>
      </w:r>
    </w:p>
    <w:p w:rsidR="00986BE4" w:rsidRPr="00986BE4" w:rsidRDefault="00986BE4" w:rsidP="00986BE4">
      <w:pPr>
        <w:autoSpaceDE w:val="0"/>
        <w:autoSpaceDN w:val="0"/>
        <w:adjustRightInd w:val="0"/>
        <w:ind w:firstLine="360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-комплексы мероприятий муниципальных программ, обеспечивающих достижение долгосрочных целей и задач социально-экономического развития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района.</w:t>
      </w:r>
    </w:p>
    <w:p w:rsidR="00986BE4" w:rsidRPr="00986BE4" w:rsidRDefault="00986BE4" w:rsidP="00986BE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6BE4" w:rsidRPr="00986BE4" w:rsidRDefault="00986BE4" w:rsidP="00986BE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Цели и задачи реализации Стратегии</w:t>
      </w:r>
    </w:p>
    <w:p w:rsidR="00986BE4" w:rsidRPr="00986BE4" w:rsidRDefault="00986BE4" w:rsidP="00986BE4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Главная стратегическая цель развития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proofErr w:type="gram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–с</w:t>
      </w:r>
      <w:proofErr w:type="gram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оздание условий для комфортного и благополучного проживания людей путем </w:t>
      </w: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повышения качества жизни к 2030 году на основе эффективного социально-ориентированного типа экономического развития.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обеспечения высокого качества жизни необходимо   решение задач социально-экономического развития </w:t>
      </w:r>
      <w:proofErr w:type="spell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Пыталовского</w:t>
      </w:r>
      <w:proofErr w:type="spell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период до 2030 года: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 развитие человеческого потенциала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 создание и развитие комфортной среды для жизни и работы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 обеспечение экономического роста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 повышение эффективности муниципального управления.</w:t>
      </w:r>
    </w:p>
    <w:p w:rsidR="00986BE4" w:rsidRPr="00986BE4" w:rsidRDefault="00986BE4" w:rsidP="00986BE4">
      <w:pPr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3. Этапы реализации Стратегии</w:t>
      </w:r>
    </w:p>
    <w:p w:rsidR="00986BE4" w:rsidRPr="00986BE4" w:rsidRDefault="00986BE4" w:rsidP="00986BE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Этапы реализации Стратегии выделены с учетом установленной периодичности бюджетного планирования.</w:t>
      </w:r>
    </w:p>
    <w:p w:rsidR="00986BE4" w:rsidRPr="00986BE4" w:rsidRDefault="00986BE4" w:rsidP="00986BE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1 этап (2021-2026 гг.) - организационно-ресурсный этап, текущий период бюджетного планирования, создание условий для дальнейшего развития района.</w:t>
      </w:r>
    </w:p>
    <w:p w:rsidR="00986BE4" w:rsidRPr="00986BE4" w:rsidRDefault="00986BE4" w:rsidP="00986BE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2 этап (2021-2026 гг.) – реализация стратегических приоритетных направлений, устойчивое социально-экономическое развитие района.</w:t>
      </w:r>
    </w:p>
    <w:p w:rsidR="00986BE4" w:rsidRPr="00986BE4" w:rsidRDefault="00986BE4" w:rsidP="00986BE4">
      <w:pPr>
        <w:autoSpaceDE w:val="0"/>
        <w:autoSpaceDN w:val="0"/>
        <w:adjustRightInd w:val="0"/>
        <w:spacing w:after="0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986BE4" w:rsidRPr="00986BE4" w:rsidSect="00292070">
          <w:headerReference w:type="default" r:id="rId6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 xml:space="preserve">3 этап (2027-2030 гг.) </w:t>
      </w:r>
      <w:proofErr w:type="gramStart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proofErr w:type="gramEnd"/>
      <w:r w:rsidRPr="00986BE4">
        <w:rPr>
          <w:rFonts w:ascii="Times New Roman" w:eastAsia="Times New Roman" w:hAnsi="Times New Roman"/>
          <w:sz w:val="28"/>
          <w:szCs w:val="28"/>
          <w:lang w:eastAsia="ru-RU"/>
        </w:rPr>
        <w:t>еализация стратегических приоритетных направлений в полном объёме (долгосрочная перспектива развития), устойчивое социально-экономическое развитие района.</w:t>
      </w: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  <w:sectPr w:rsidR="00986BE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86BE4" w:rsidRPr="00986BE4" w:rsidRDefault="00986BE4" w:rsidP="00986B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4. </w:t>
      </w: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Комплексы мероприятий муниципальных программ, обеспечивающих достижение долгосрочных целей и задач социально-экономического развития муниципального образования «</w:t>
      </w:r>
      <w:proofErr w:type="spellStart"/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>Пыталовский</w:t>
      </w:r>
      <w:proofErr w:type="spellEnd"/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до 2030 года</w:t>
      </w: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6521"/>
      </w:tblGrid>
      <w:tr w:rsidR="00986BE4" w:rsidRPr="00986BE4" w:rsidTr="0000106F"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Стратегическое направление 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цели муниципальной программы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муниципальных программ и подпрограмм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основных мероприятий и мероприятий, отвечающих за реализацию задач</w:t>
            </w:r>
          </w:p>
        </w:tc>
      </w:tr>
      <w:tr w:rsidR="00986BE4" w:rsidRPr="00986BE4" w:rsidTr="0000106F"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Социальное развитие </w:t>
            </w: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доступности и качества образования, повышение эффективности реализации молодежной политики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образования, молодежной политики, физической культуры и спорта, укрепление общественного здоровья в муниципальном образовании «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дошкольного, общего и дополнительного образования»</w:t>
            </w:r>
          </w:p>
          <w:p w:rsidR="00986BE4" w:rsidRPr="00986BE4" w:rsidRDefault="00986BE4" w:rsidP="00986BE4">
            <w:pPr>
              <w:tabs>
                <w:tab w:val="left" w:pos="34"/>
              </w:tabs>
              <w:spacing w:after="0" w:line="240" w:lineRule="auto"/>
              <w:ind w:firstLine="17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Обеспечение доступности дошкольного образования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материально-технической базы дошкольных образовательных учреждений.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Обеспечение мер социальной поддержки, сохранение и укрепление здоровья, профилактика заболеваемости детей дошкольного возраста.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Программно-методическое обеспечение дошкольных образовательных учреждений.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Оказание муниципальных услуг дошкольными образовательными учреждениями в соответствии с ведомственным перечнем услуг.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Компенсация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бесплатного дошкольного 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образования в муниципальных дошкольных образовательных организациях.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Поддержка и развитие процесса информатизации системы общего образования.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питания в МБОУ.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Совершенствование системы 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социально-педагогической направленности со старшеклассниками МБОУ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Развитие системы поддержки одаренных детей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Совершенствование системы воспитательной работы.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Обеспечение современных требований к условиям организации образовательного процесса.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Развитие материально-технической базы учреждений дополнительного образования. Обеспечение современных требований к условиям организации образовательного процесса в общеобразовательных учреждениях через текущий ремонт, приобретение оборудования, учебников и учебно-наглядных пособий.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Оказание муниципальных услуг учреждениями дополнительного образования детей в соответствии с ведомственным перечнем услуг.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Проведение комплекса мероприятий, направленных на улучшение оснащения летних оздоровительных лагерей с дневным пребыванием детей к летней оздоровительной кампании.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Развитие системы питания в организованных органами местного самоуправления лагерях с дневным пребыванием детей.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 xml:space="preserve"> Проведение комплекса мероприятий, направленных на обеспечение детей путевками в загородные оздоровительные лагеря.</w:t>
            </w: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«Молодое поколение»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Реализация мероприятий гражданской и патриотической направленности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Развитие дальнейшей деятельности военно-патриотических клубов и объединений района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Организация комплекса мероприятий для формирования социально активной личности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Поддержка и содействие в реализации гражданских инициатив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Поддержка одаренных детей, талантливой молодежи, развитие направлений творческих инициатив молодежи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Мероприятия (конкурсы, фестивали, акции, семинары, "круглые столы"), направленные на первичную профилактику негативных явлений в молодежной среде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Мероприятия по укреплению и развитию материально-технической базы молодежных клубов по месту жительства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системы защиты прав детей»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физической культуры и спорта»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материально-технической спортивной базы в районе.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благоприятных условий для привлечения различных слоев населения к организованным занятиям физической культурой и спортом.</w:t>
            </w:r>
          </w:p>
          <w:p w:rsidR="00986BE4" w:rsidRPr="00986BE4" w:rsidRDefault="00986BE4" w:rsidP="00986B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Обеспечение подготовки и переподготовки специалистов в области физической культуры и спорта в рамках текущей и перспективной потребности развития массовой физической культуры и спорта в районе.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Обеспечение выполнения муниципальных заданий муниципальными учреждениями.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Формирование единого культурного и информационного пространства, создание 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условий для поддержки перспективных направлений развития культуры и обеспечения равных возможностей доступа к культурным ценностям граждан муниципального образования «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Муниципальная программа</w:t>
            </w: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«Развитие культуры в муниципальном 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образовании «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 </w:t>
            </w: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«Развитие культуры»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Развитие библиотечного дела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системы культурно-досугового обслуживания граждан 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музейного дела</w:t>
            </w:r>
          </w:p>
        </w:tc>
      </w:tr>
      <w:tr w:rsidR="00986BE4" w:rsidRPr="00986BE4" w:rsidTr="0000106F">
        <w:tc>
          <w:tcPr>
            <w:tcW w:w="2694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Экономическое развитие </w:t>
            </w: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hAnsi="Times New Roman"/>
                <w:sz w:val="24"/>
                <w:szCs w:val="24"/>
                <w:lang w:eastAsia="ru-RU"/>
              </w:rPr>
              <w:t>Содействие сохранению и развитию экономического потенциала муниципального образования «</w:t>
            </w:r>
            <w:proofErr w:type="spellStart"/>
            <w:r w:rsidRPr="00986BE4">
              <w:rPr>
                <w:rFonts w:ascii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«Содействие экономическому развитию и инвестиционной привлекательности муниципального образования «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Подпрограмма «Повышение инвестиционной привлекательности»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Повышение инвестиционной привлекательности муниципального образования «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 xml:space="preserve">Подпрограмма </w:t>
            </w:r>
            <w:r w:rsidRPr="00986BE4">
              <w:rPr>
                <w:rFonts w:eastAsia="Times New Roman" w:cs="Calibri"/>
                <w:sz w:val="24"/>
                <w:szCs w:val="24"/>
              </w:rPr>
              <w:t>«</w:t>
            </w:r>
            <w:r w:rsidRPr="00986BE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Развитие туристического комплекса»</w:t>
            </w:r>
          </w:p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туристического комплекса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и поддержка малого и среднего предпринимательства»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и поддержка малого и среднего предпринимательства 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проектов программы приграничного сотрудничества Россия-Латвия 2014-2020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</w:rPr>
              <w:t>Подпрограмма «Развитие сельского хозяйства»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и поддержка отрасли сельское хозяйство в муниципальном образовании «</w:t>
            </w:r>
            <w:proofErr w:type="spellStart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86BE4" w:rsidRPr="00986BE4" w:rsidTr="0000106F">
        <w:tc>
          <w:tcPr>
            <w:tcW w:w="2694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Инфраструктурное развитие </w:t>
            </w: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</w:t>
            </w: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«Развитие транспортного обслуживания населения на территории МО "</w:t>
            </w:r>
            <w:proofErr w:type="spell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район" 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hAnsi="Times New Roman"/>
                <w:sz w:val="24"/>
                <w:szCs w:val="24"/>
              </w:rPr>
              <w:t>Подпрограмма «Повышение безопасности дорожного движения»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безопасности дорожного движения на территории МО "</w:t>
            </w:r>
            <w:proofErr w:type="spellStart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район"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hAnsi="Times New Roman"/>
                <w:color w:val="000000"/>
                <w:lang w:eastAsia="ru-RU"/>
              </w:rPr>
              <w:t>Подпрограмма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Обеспечение развития систем и объектов коммунальной инфраструктуры, благоустройство территории, повышение доступности жилья для жителей муниципального образования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6B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«Комплексное развитие систем коммунальной инфраструктуры и благоустройства МО «</w:t>
            </w:r>
            <w:proofErr w:type="spellStart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 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«Комплексное развитие систем коммунальной инфраструктуры муниципального образования»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Комплексное развитие систем коммунальной инфраструктуры муниципального образования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 «Энергосбережение и повышение энергетической эффективности»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Энергосбережение и повышение энергетической эффективности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</w:t>
            </w: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«Благоустройство муниципального образования»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Организация благоустройства и озеленения территории </w:t>
            </w: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 из аварийного жилищного фонда»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долевом строительстве многоквартирного жилого дома или приобретение жилых помещений в муниципальную собственность для обеспечения жильем граждан, проживающих в аварийном жилищном фонде.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«Оказание молодым семьям поддержки для улучшения жилищных условий»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Оказание молодым семьям поддержки для улучшения жилищных условий посредством систематизации, экспертизе предоставления документов с целью признания их </w:t>
            </w:r>
            <w:proofErr w:type="gramStart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нуждающимися</w:t>
            </w:r>
            <w:proofErr w:type="gramEnd"/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жилом помещении для вступления в программу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«Жилище»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Улучшение жилищных условий отдельных категорий граждан</w:t>
            </w: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 w:val="restart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Повышение уровня благоустройства муниципального образования</w:t>
            </w: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«Формирование современной городской среды в  муниципальном образовании «</w:t>
            </w:r>
            <w:proofErr w:type="spellStart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район» на 2018 - 2022 годы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6BE4" w:rsidRPr="00986BE4" w:rsidTr="0000106F">
        <w:tc>
          <w:tcPr>
            <w:tcW w:w="2694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Подпрограмма «Комфортная городская среда» на 2018-2022 г.</w:t>
            </w:r>
          </w:p>
        </w:tc>
        <w:tc>
          <w:tcPr>
            <w:tcW w:w="6521" w:type="dxa"/>
          </w:tcPr>
          <w:p w:rsidR="00986BE4" w:rsidRPr="00986BE4" w:rsidRDefault="00986BE4" w:rsidP="00986BE4">
            <w:pPr>
              <w:spacing w:after="0" w:line="240" w:lineRule="auto"/>
              <w:ind w:firstLine="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</w:tr>
    </w:tbl>
    <w:p w:rsidR="00986BE4" w:rsidRPr="00986BE4" w:rsidRDefault="00986BE4" w:rsidP="00986BE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6BE4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5. Целевые показатели реализации Стратегии</w:t>
      </w:r>
    </w:p>
    <w:p w:rsidR="00986BE4" w:rsidRPr="00986BE4" w:rsidRDefault="00986BE4" w:rsidP="00986BE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66"/>
        <w:gridCol w:w="1195"/>
        <w:gridCol w:w="1236"/>
        <w:gridCol w:w="1236"/>
        <w:gridCol w:w="1236"/>
        <w:gridCol w:w="1236"/>
        <w:gridCol w:w="1236"/>
        <w:gridCol w:w="1236"/>
        <w:gridCol w:w="1236"/>
        <w:gridCol w:w="1236"/>
        <w:gridCol w:w="1236"/>
      </w:tblGrid>
      <w:tr w:rsidR="00986BE4" w:rsidRPr="00986BE4" w:rsidTr="00986BE4">
        <w:trPr>
          <w:trHeight w:val="556"/>
        </w:trPr>
        <w:tc>
          <w:tcPr>
            <w:tcW w:w="14885" w:type="dxa"/>
            <w:gridSpan w:val="11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Целевые показатели социально-экономического развития муниципального образования «</w:t>
            </w:r>
            <w:proofErr w:type="spellStart"/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Пыталовский</w:t>
            </w:r>
            <w:proofErr w:type="spellEnd"/>
            <w:r w:rsidRPr="00986BE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2028 год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2029 год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2030 год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Среднегодовая численность постоянного населения, тыс. чел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8,3</w:t>
            </w:r>
          </w:p>
        </w:tc>
      </w:tr>
      <w:tr w:rsidR="00986BE4" w:rsidRPr="00986BE4" w:rsidTr="0000106F">
        <w:trPr>
          <w:trHeight w:val="1443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Объем отгруженных товаров собственного производства, выполненных работ и услуг собственными силами, тыс. руб.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444314,6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456311,2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473650,9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491649,7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512298,9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526131,0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540862,7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554384,2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577668,4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601930,5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Оборот розничной торговли, тыс. руб.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1587113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1653771,7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1774497,1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1818859,5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1895251,6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1967271,2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2012518,4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2042706,2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2134628,0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2192262,9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Среднесписочная численность работников организаций, чел.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1334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Среднемесячная номинальная начисленная заработная плата работников организаций, руб.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34754,5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36735,4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38829,4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41042,6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43382,1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45854,8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48468,6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41231,3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52512,1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54822,6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Численность официально зарегистрированных безработных (на конец периода), чел.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Ввод в действие общей площади жилых домов, кв. м.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1734</w:t>
            </w:r>
          </w:p>
        </w:tc>
      </w:tr>
      <w:tr w:rsidR="00986BE4" w:rsidRPr="00986BE4" w:rsidTr="0000106F">
        <w:trPr>
          <w:trHeight w:val="685"/>
        </w:trPr>
        <w:tc>
          <w:tcPr>
            <w:tcW w:w="2694" w:type="dxa"/>
          </w:tcPr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lang w:eastAsia="ru-RU"/>
              </w:rPr>
              <w:t>Производство молока, тонн</w:t>
            </w:r>
          </w:p>
          <w:p w:rsidR="00986BE4" w:rsidRPr="00986BE4" w:rsidRDefault="00986BE4" w:rsidP="00986BE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1219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1220" w:type="dxa"/>
          </w:tcPr>
          <w:p w:rsidR="00986BE4" w:rsidRPr="00986BE4" w:rsidRDefault="00986BE4" w:rsidP="00986BE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6B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</w:t>
            </w:r>
          </w:p>
        </w:tc>
      </w:tr>
    </w:tbl>
    <w:p w:rsidR="00986BE4" w:rsidRPr="00986BE4" w:rsidRDefault="00986BE4" w:rsidP="00986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BE4" w:rsidRPr="00986BE4" w:rsidRDefault="00986BE4" w:rsidP="00986BE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1616" w:rsidRDefault="00771616"/>
    <w:sectPr w:rsidR="00771616" w:rsidSect="00986BE4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03F" w:rsidRDefault="00986BE4" w:rsidP="006C221C">
    <w:pPr>
      <w:pStyle w:val="a3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F6E42"/>
    <w:multiLevelType w:val="hybridMultilevel"/>
    <w:tmpl w:val="8952A6E6"/>
    <w:lvl w:ilvl="0" w:tplc="B216A0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76"/>
    <w:rsid w:val="00771616"/>
    <w:rsid w:val="00986BE4"/>
    <w:rsid w:val="00C7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B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6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6B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6BE4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86B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86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2005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2021-01-14T06:07:00Z</dcterms:created>
  <dcterms:modified xsi:type="dcterms:W3CDTF">2021-01-14T06:14:00Z</dcterms:modified>
</cp:coreProperties>
</file>